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15035E" w:rsidRDefault="0015035E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</w:p>
    <w:p w:rsidR="00D82AB1" w:rsidRDefault="005D1FF5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  <w:bookmarkStart w:id="0" w:name="_GoBack"/>
      <w:bookmarkEnd w:id="0"/>
      <w:r>
        <w:rPr>
          <w:sz w:val="20"/>
          <w:szCs w:val="20"/>
          <w:highlight w:val="white"/>
        </w:rPr>
        <w:t xml:space="preserve">Severe Combined Immunodeficiency Disorder (SCID) is an immunological deficiency disorder disturbing T-, B- and NK-cell function and consequently compromising antibody </w:t>
      </w:r>
      <w:proofErr w:type="gramStart"/>
      <w:r>
        <w:rPr>
          <w:sz w:val="20"/>
          <w:szCs w:val="20"/>
          <w:highlight w:val="white"/>
        </w:rPr>
        <w:t>responses[</w:t>
      </w:r>
      <w:proofErr w:type="gramEnd"/>
      <w:r>
        <w:rPr>
          <w:sz w:val="20"/>
          <w:szCs w:val="20"/>
          <w:highlight w:val="white"/>
        </w:rPr>
        <w:t>1]. Around 15 % SCID cases are due to a mutation in the Adenosine Deaminase (AD</w:t>
      </w:r>
      <w:r>
        <w:rPr>
          <w:sz w:val="20"/>
          <w:szCs w:val="20"/>
          <w:highlight w:val="white"/>
        </w:rPr>
        <w:t xml:space="preserve">A1) enzyme. ADA1 deficiency </w:t>
      </w:r>
      <w:r>
        <w:rPr>
          <w:i/>
          <w:sz w:val="20"/>
          <w:szCs w:val="20"/>
          <w:highlight w:val="white"/>
        </w:rPr>
        <w:t>disrupts adenosine metabolism</w:t>
      </w:r>
      <w:r>
        <w:rPr>
          <w:sz w:val="20"/>
          <w:szCs w:val="20"/>
          <w:highlight w:val="white"/>
        </w:rPr>
        <w:t xml:space="preserve"> &amp; causes an </w:t>
      </w:r>
      <w:r>
        <w:rPr>
          <w:i/>
          <w:sz w:val="20"/>
          <w:szCs w:val="20"/>
          <w:highlight w:val="white"/>
        </w:rPr>
        <w:t xml:space="preserve">accumulation of adenosine </w:t>
      </w:r>
      <w:proofErr w:type="spellStart"/>
      <w:r>
        <w:rPr>
          <w:sz w:val="20"/>
          <w:szCs w:val="20"/>
          <w:highlight w:val="white"/>
        </w:rPr>
        <w:t>deoxyribonucleotides</w:t>
      </w:r>
      <w:proofErr w:type="spellEnd"/>
      <w:r>
        <w:rPr>
          <w:sz w:val="20"/>
          <w:szCs w:val="20"/>
          <w:highlight w:val="white"/>
        </w:rPr>
        <w:t xml:space="preserve"> (</w:t>
      </w:r>
      <w:proofErr w:type="spellStart"/>
      <w:r>
        <w:rPr>
          <w:sz w:val="20"/>
          <w:szCs w:val="20"/>
          <w:highlight w:val="white"/>
        </w:rPr>
        <w:t>dATPs</w:t>
      </w:r>
      <w:proofErr w:type="spellEnd"/>
      <w:r>
        <w:rPr>
          <w:sz w:val="20"/>
          <w:szCs w:val="20"/>
          <w:highlight w:val="white"/>
        </w:rPr>
        <w:t>) inhibiting ribonucleotide reductase activity essential for cell proliferation and DNA repair [2]. There is growing evidence that AD</w:t>
      </w:r>
      <w:r>
        <w:rPr>
          <w:sz w:val="20"/>
          <w:szCs w:val="20"/>
          <w:highlight w:val="white"/>
        </w:rPr>
        <w:t xml:space="preserve">A-SCID is involved in various non-immunological defects. These include non-infective, </w:t>
      </w:r>
      <w:r>
        <w:rPr>
          <w:i/>
          <w:sz w:val="20"/>
          <w:szCs w:val="20"/>
          <w:highlight w:val="white"/>
        </w:rPr>
        <w:t>adenosine metabolic disorders</w:t>
      </w:r>
      <w:r>
        <w:rPr>
          <w:sz w:val="20"/>
          <w:szCs w:val="20"/>
          <w:highlight w:val="white"/>
        </w:rPr>
        <w:t xml:space="preserve">, such as neurocognitive, auditory, and pulmonary airway </w:t>
      </w:r>
      <w:proofErr w:type="gramStart"/>
      <w:r>
        <w:rPr>
          <w:sz w:val="20"/>
          <w:szCs w:val="20"/>
          <w:highlight w:val="white"/>
        </w:rPr>
        <w:t>dysfunction[</w:t>
      </w:r>
      <w:proofErr w:type="gramEnd"/>
      <w:r>
        <w:rPr>
          <w:sz w:val="20"/>
          <w:szCs w:val="20"/>
          <w:highlight w:val="white"/>
        </w:rPr>
        <w:t xml:space="preserve">3][4]. It is </w:t>
      </w:r>
      <w:r>
        <w:rPr>
          <w:i/>
          <w:sz w:val="20"/>
          <w:szCs w:val="20"/>
          <w:highlight w:val="white"/>
        </w:rPr>
        <w:t>still unclear</w:t>
      </w:r>
      <w:r>
        <w:rPr>
          <w:sz w:val="20"/>
          <w:szCs w:val="20"/>
          <w:highlight w:val="white"/>
        </w:rPr>
        <w:t xml:space="preserve"> how the </w:t>
      </w:r>
      <w:r>
        <w:rPr>
          <w:i/>
          <w:sz w:val="20"/>
          <w:szCs w:val="20"/>
          <w:highlight w:val="white"/>
        </w:rPr>
        <w:t>adenosine metabolism disruption</w:t>
      </w:r>
      <w:r>
        <w:rPr>
          <w:sz w:val="20"/>
          <w:szCs w:val="20"/>
          <w:highlight w:val="white"/>
        </w:rPr>
        <w:t xml:space="preserve"> contr</w:t>
      </w:r>
      <w:r>
        <w:rPr>
          <w:sz w:val="20"/>
          <w:szCs w:val="20"/>
          <w:highlight w:val="white"/>
        </w:rPr>
        <w:t xml:space="preserve">ibutes to these pulmonary airway abnormalities. </w:t>
      </w:r>
      <w:r>
        <w:rPr>
          <w:i/>
          <w:sz w:val="20"/>
          <w:szCs w:val="20"/>
          <w:highlight w:val="white"/>
        </w:rPr>
        <w:t xml:space="preserve"> </w:t>
      </w: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5D1FF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My primary goal: </w:t>
      </w:r>
      <w:r>
        <w:rPr>
          <w:sz w:val="20"/>
          <w:szCs w:val="20"/>
          <w:highlight w:val="white"/>
        </w:rPr>
        <w:t xml:space="preserve">is to determine the role of </w:t>
      </w:r>
      <w:r>
        <w:rPr>
          <w:i/>
          <w:sz w:val="20"/>
          <w:szCs w:val="20"/>
          <w:highlight w:val="white"/>
        </w:rPr>
        <w:t xml:space="preserve">ADA1 deficiency </w:t>
      </w:r>
      <w:r>
        <w:rPr>
          <w:sz w:val="20"/>
          <w:szCs w:val="20"/>
          <w:highlight w:val="white"/>
        </w:rPr>
        <w:t>in pulmonary dysfunction.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A </w:t>
      </w:r>
      <w:r>
        <w:rPr>
          <w:color w:val="222222"/>
          <w:sz w:val="20"/>
          <w:szCs w:val="20"/>
          <w:highlight w:val="white"/>
        </w:rPr>
        <w:t xml:space="preserve">Danio </w:t>
      </w:r>
      <w:proofErr w:type="spellStart"/>
      <w:r>
        <w:rPr>
          <w:color w:val="222222"/>
          <w:sz w:val="20"/>
          <w:szCs w:val="20"/>
          <w:highlight w:val="white"/>
        </w:rPr>
        <w:t>rerio</w:t>
      </w:r>
      <w:proofErr w:type="spellEnd"/>
      <w:r>
        <w:rPr>
          <w:color w:val="222222"/>
          <w:sz w:val="20"/>
          <w:szCs w:val="20"/>
          <w:highlight w:val="white"/>
        </w:rPr>
        <w:t xml:space="preserve"> (zebrafish)</w:t>
      </w:r>
      <w:r>
        <w:rPr>
          <w:sz w:val="20"/>
          <w:szCs w:val="20"/>
          <w:highlight w:val="white"/>
        </w:rPr>
        <w:t xml:space="preserve"> model will be used to first study gills as they share the conserved respiratory function of </w:t>
      </w:r>
      <w:r>
        <w:rPr>
          <w:sz w:val="20"/>
          <w:szCs w:val="20"/>
          <w:highlight w:val="white"/>
        </w:rPr>
        <w:t>lungs, have an ADA homolog (</w:t>
      </w:r>
      <w:proofErr w:type="spellStart"/>
      <w:r>
        <w:rPr>
          <w:sz w:val="20"/>
          <w:szCs w:val="20"/>
          <w:highlight w:val="white"/>
        </w:rPr>
        <w:t>ada</w:t>
      </w:r>
      <w:proofErr w:type="spellEnd"/>
      <w:r>
        <w:rPr>
          <w:sz w:val="20"/>
          <w:szCs w:val="20"/>
          <w:highlight w:val="white"/>
        </w:rPr>
        <w:t xml:space="preserve">), produce many offspring frequently, and their transparent, externally developing embryos facilitate </w:t>
      </w:r>
      <w:r>
        <w:rPr>
          <w:i/>
          <w:sz w:val="20"/>
          <w:szCs w:val="20"/>
          <w:highlight w:val="white"/>
        </w:rPr>
        <w:t>in-vivo</w:t>
      </w:r>
      <w:r>
        <w:rPr>
          <w:sz w:val="20"/>
          <w:szCs w:val="20"/>
          <w:highlight w:val="white"/>
        </w:rPr>
        <w:t xml:space="preserve"> modifications to observe potential differential gill development/inflammation. I will also use a Mus </w:t>
      </w:r>
      <w:proofErr w:type="spellStart"/>
      <w:r>
        <w:rPr>
          <w:sz w:val="20"/>
          <w:szCs w:val="20"/>
          <w:highlight w:val="white"/>
        </w:rPr>
        <w:t>musculus</w:t>
      </w:r>
      <w:proofErr w:type="spellEnd"/>
      <w:r>
        <w:rPr>
          <w:sz w:val="20"/>
          <w:szCs w:val="20"/>
          <w:highlight w:val="white"/>
        </w:rPr>
        <w:t xml:space="preserve"> (mous</w:t>
      </w:r>
      <w:r>
        <w:rPr>
          <w:sz w:val="20"/>
          <w:szCs w:val="20"/>
          <w:highlight w:val="white"/>
        </w:rPr>
        <w:t xml:space="preserve">e) model because they share very similar lung physiology, have exhibited severe pulmonary inflammation in ADA-deficient lines[6], and I will be able to conduct a </w:t>
      </w:r>
      <w:r>
        <w:rPr>
          <w:i/>
          <w:sz w:val="20"/>
          <w:szCs w:val="20"/>
          <w:highlight w:val="white"/>
        </w:rPr>
        <w:t>transfer impedance</w:t>
      </w:r>
      <w:r>
        <w:rPr>
          <w:sz w:val="20"/>
          <w:szCs w:val="20"/>
          <w:highlight w:val="white"/>
        </w:rPr>
        <w:t xml:space="preserve"> experiment to test for normal lung function[5]. I </w:t>
      </w:r>
      <w:r>
        <w:rPr>
          <w:b/>
          <w:sz w:val="20"/>
          <w:szCs w:val="20"/>
          <w:highlight w:val="white"/>
        </w:rPr>
        <w:t>hypothesize</w:t>
      </w:r>
      <w:r>
        <w:rPr>
          <w:sz w:val="20"/>
          <w:szCs w:val="20"/>
          <w:highlight w:val="white"/>
        </w:rPr>
        <w:t xml:space="preserve"> that accumula</w:t>
      </w:r>
      <w:r>
        <w:rPr>
          <w:sz w:val="20"/>
          <w:szCs w:val="20"/>
          <w:highlight w:val="white"/>
        </w:rPr>
        <w:t xml:space="preserve">ted levels of adenosine increases cell signaling pathways responsible for hyper-constriction of the lungs and increased inflammation. </w:t>
      </w:r>
      <w:r>
        <w:rPr>
          <w:b/>
          <w:sz w:val="20"/>
          <w:szCs w:val="20"/>
          <w:highlight w:val="white"/>
        </w:rPr>
        <w:t>My long-term goal:</w:t>
      </w:r>
      <w:r>
        <w:rPr>
          <w:sz w:val="20"/>
          <w:szCs w:val="20"/>
          <w:highlight w:val="white"/>
        </w:rPr>
        <w:t xml:space="preserve"> is to better understand the role ADA1 has on the lungs.</w:t>
      </w: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5D1FF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Aim 1: </w:t>
      </w:r>
      <w:r>
        <w:rPr>
          <w:sz w:val="20"/>
          <w:szCs w:val="20"/>
          <w:highlight w:val="white"/>
        </w:rPr>
        <w:t>Determine conserved amino acid sequence</w:t>
      </w:r>
      <w:r>
        <w:rPr>
          <w:sz w:val="20"/>
          <w:szCs w:val="20"/>
          <w:highlight w:val="white"/>
        </w:rPr>
        <w:t xml:space="preserve">s in ADA1 necessary for normal pulmonary/gill function. </w:t>
      </w:r>
      <w:r>
        <w:rPr>
          <w:b/>
          <w:sz w:val="20"/>
          <w:szCs w:val="20"/>
          <w:highlight w:val="white"/>
        </w:rPr>
        <w:t>Approach:</w:t>
      </w:r>
      <w:r>
        <w:rPr>
          <w:sz w:val="20"/>
          <w:szCs w:val="20"/>
          <w:highlight w:val="white"/>
        </w:rPr>
        <w:t xml:space="preserve"> I will use ENSEMBLE and </w:t>
      </w:r>
      <w:proofErr w:type="spellStart"/>
      <w:r>
        <w:rPr>
          <w:sz w:val="20"/>
          <w:szCs w:val="20"/>
          <w:highlight w:val="white"/>
        </w:rPr>
        <w:t>ClustalWOmega</w:t>
      </w:r>
      <w:proofErr w:type="spellEnd"/>
      <w:r>
        <w:rPr>
          <w:sz w:val="20"/>
          <w:szCs w:val="20"/>
          <w:highlight w:val="white"/>
        </w:rPr>
        <w:t xml:space="preserve"> to obtain and align homologous ADA1 protein sequences from different model organisms to identify conserved regions of ADA1 homologs that are only in org</w:t>
      </w:r>
      <w:r>
        <w:rPr>
          <w:sz w:val="20"/>
          <w:szCs w:val="20"/>
          <w:highlight w:val="white"/>
        </w:rPr>
        <w:t xml:space="preserve">anisms with lungs or gills. I will then use CRISPR-Cas9 to knock out the conserved zebrafish </w:t>
      </w:r>
      <w:proofErr w:type="spellStart"/>
      <w:r>
        <w:rPr>
          <w:sz w:val="20"/>
          <w:szCs w:val="20"/>
          <w:highlight w:val="white"/>
        </w:rPr>
        <w:t>ada</w:t>
      </w:r>
      <w:proofErr w:type="spellEnd"/>
      <w:r>
        <w:rPr>
          <w:sz w:val="20"/>
          <w:szCs w:val="20"/>
          <w:highlight w:val="white"/>
        </w:rPr>
        <w:t xml:space="preserve"> regions and search for individuals showing deficient gill development/inflammation. </w:t>
      </w:r>
      <w:r>
        <w:rPr>
          <w:b/>
          <w:sz w:val="20"/>
          <w:szCs w:val="20"/>
          <w:highlight w:val="white"/>
        </w:rPr>
        <w:t xml:space="preserve">Rationale: </w:t>
      </w:r>
      <w:r>
        <w:rPr>
          <w:sz w:val="20"/>
          <w:szCs w:val="20"/>
          <w:highlight w:val="white"/>
        </w:rPr>
        <w:t>Identifying ADA knockout zebrafish with gill dysfunction will co</w:t>
      </w:r>
      <w:r>
        <w:rPr>
          <w:sz w:val="20"/>
          <w:szCs w:val="20"/>
          <w:highlight w:val="white"/>
        </w:rPr>
        <w:t xml:space="preserve">nfirm the conserved, non-immunological, role of adenosine in respiration, also being the main role of the pulmonary system. </w:t>
      </w:r>
      <w:r>
        <w:rPr>
          <w:b/>
          <w:sz w:val="20"/>
          <w:szCs w:val="20"/>
          <w:highlight w:val="white"/>
        </w:rPr>
        <w:t xml:space="preserve">Hypothesis: </w:t>
      </w:r>
      <w:r>
        <w:rPr>
          <w:sz w:val="20"/>
          <w:szCs w:val="20"/>
          <w:highlight w:val="white"/>
        </w:rPr>
        <w:t xml:space="preserve">The ADA1 knockout zebrafish will show deficient gill development due to the increased levels of adenosine. </w:t>
      </w: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5D1FF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Aims 2: </w:t>
      </w:r>
      <w:r>
        <w:rPr>
          <w:sz w:val="20"/>
          <w:szCs w:val="20"/>
          <w:highlight w:val="white"/>
        </w:rPr>
        <w:t>Use</w:t>
      </w:r>
      <w:r>
        <w:rPr>
          <w:sz w:val="20"/>
          <w:szCs w:val="20"/>
          <w:highlight w:val="white"/>
        </w:rPr>
        <w:t xml:space="preserve"> RNA-</w:t>
      </w:r>
      <w:proofErr w:type="spellStart"/>
      <w:r>
        <w:rPr>
          <w:sz w:val="20"/>
          <w:szCs w:val="20"/>
          <w:highlight w:val="white"/>
        </w:rPr>
        <w:t>Seq</w:t>
      </w:r>
      <w:proofErr w:type="spellEnd"/>
      <w:r>
        <w:rPr>
          <w:sz w:val="20"/>
          <w:szCs w:val="20"/>
          <w:highlight w:val="white"/>
        </w:rPr>
        <w:t xml:space="preserve"> on ADA1 knockout zebrafish to identify differentially expressed transcripts </w:t>
      </w:r>
      <w:r>
        <w:rPr>
          <w:b/>
          <w:sz w:val="20"/>
          <w:szCs w:val="20"/>
          <w:highlight w:val="white"/>
        </w:rPr>
        <w:t xml:space="preserve">Approach: </w:t>
      </w:r>
      <w:r>
        <w:rPr>
          <w:sz w:val="20"/>
          <w:szCs w:val="20"/>
          <w:highlight w:val="white"/>
        </w:rPr>
        <w:t xml:space="preserve">I will sequence isolated zebrafish RNA from both a control </w:t>
      </w:r>
      <w:proofErr w:type="spellStart"/>
      <w:r>
        <w:rPr>
          <w:sz w:val="20"/>
          <w:szCs w:val="20"/>
          <w:highlight w:val="white"/>
        </w:rPr>
        <w:t>ada</w:t>
      </w:r>
      <w:proofErr w:type="spellEnd"/>
      <w:r>
        <w:rPr>
          <w:sz w:val="20"/>
          <w:szCs w:val="20"/>
          <w:highlight w:val="white"/>
        </w:rPr>
        <w:t>+/</w:t>
      </w:r>
      <w:proofErr w:type="spellStart"/>
      <w:r>
        <w:rPr>
          <w:sz w:val="20"/>
          <w:szCs w:val="20"/>
          <w:highlight w:val="white"/>
        </w:rPr>
        <w:t>ada</w:t>
      </w:r>
      <w:proofErr w:type="spellEnd"/>
      <w:r>
        <w:rPr>
          <w:sz w:val="20"/>
          <w:szCs w:val="20"/>
          <w:highlight w:val="white"/>
        </w:rPr>
        <w:t>+ group and from the zebrafish of aim 1 that showed gill deficiencies. I will next Gene Ontolo</w:t>
      </w:r>
      <w:r>
        <w:rPr>
          <w:sz w:val="20"/>
          <w:szCs w:val="20"/>
          <w:highlight w:val="white"/>
        </w:rPr>
        <w:t xml:space="preserve">gy to identify clusters of gill development/functional genes that are lost or downregulated in the </w:t>
      </w:r>
      <w:proofErr w:type="spellStart"/>
      <w:r>
        <w:rPr>
          <w:sz w:val="20"/>
          <w:szCs w:val="20"/>
          <w:highlight w:val="white"/>
        </w:rPr>
        <w:t>ada</w:t>
      </w:r>
      <w:proofErr w:type="spellEnd"/>
      <w:r>
        <w:rPr>
          <w:sz w:val="20"/>
          <w:szCs w:val="20"/>
          <w:highlight w:val="white"/>
        </w:rPr>
        <w:t xml:space="preserve"> knockout group. Next, I will use CRISPR-Cas9 to knockout the mice homologs of the differentially expressed transcripts from aims 1 and test for signs of </w:t>
      </w:r>
      <w:r>
        <w:rPr>
          <w:sz w:val="20"/>
          <w:szCs w:val="20"/>
          <w:highlight w:val="white"/>
        </w:rPr>
        <w:t xml:space="preserve">pulmonary defects through a </w:t>
      </w:r>
      <w:r>
        <w:rPr>
          <w:i/>
          <w:sz w:val="20"/>
          <w:szCs w:val="20"/>
          <w:highlight w:val="white"/>
        </w:rPr>
        <w:t>transfer impedance test</w:t>
      </w:r>
      <w:r>
        <w:rPr>
          <w:sz w:val="20"/>
          <w:szCs w:val="20"/>
          <w:highlight w:val="white"/>
        </w:rPr>
        <w:t xml:space="preserve">. </w:t>
      </w:r>
      <w:r>
        <w:rPr>
          <w:b/>
          <w:sz w:val="20"/>
          <w:szCs w:val="20"/>
          <w:highlight w:val="white"/>
        </w:rPr>
        <w:t xml:space="preserve">Rationale: </w:t>
      </w:r>
      <w:r>
        <w:rPr>
          <w:sz w:val="20"/>
          <w:szCs w:val="20"/>
          <w:highlight w:val="white"/>
        </w:rPr>
        <w:t xml:space="preserve">Online literature indicates ADA1 is linked to </w:t>
      </w:r>
      <w:r>
        <w:rPr>
          <w:sz w:val="20"/>
          <w:szCs w:val="20"/>
        </w:rPr>
        <w:t xml:space="preserve">lung alveolus development and </w:t>
      </w:r>
      <w:r>
        <w:rPr>
          <w:sz w:val="20"/>
          <w:szCs w:val="20"/>
          <w:highlight w:val="white"/>
        </w:rPr>
        <w:t xml:space="preserve">negative regulation of inflammatory response, two </w:t>
      </w:r>
      <w:r>
        <w:rPr>
          <w:sz w:val="20"/>
          <w:szCs w:val="20"/>
        </w:rPr>
        <w:t xml:space="preserve">pathways affected in pulmonary </w:t>
      </w:r>
      <w:proofErr w:type="gramStart"/>
      <w:r>
        <w:rPr>
          <w:sz w:val="20"/>
          <w:szCs w:val="20"/>
        </w:rPr>
        <w:t>dysfunction[</w:t>
      </w:r>
      <w:proofErr w:type="gramEnd"/>
      <w:r>
        <w:rPr>
          <w:sz w:val="20"/>
          <w:szCs w:val="20"/>
        </w:rPr>
        <w:t>7]. Identifying express</w:t>
      </w:r>
      <w:r>
        <w:rPr>
          <w:sz w:val="20"/>
          <w:szCs w:val="20"/>
        </w:rPr>
        <w:t xml:space="preserve">ion changes in these transcripts will demonstrate the role of adenosine in lung dysfunction. </w:t>
      </w:r>
      <w:r>
        <w:rPr>
          <w:b/>
          <w:sz w:val="20"/>
          <w:szCs w:val="20"/>
          <w:highlight w:val="white"/>
        </w:rPr>
        <w:t xml:space="preserve">Hypothesis: </w:t>
      </w:r>
      <w:r>
        <w:rPr>
          <w:sz w:val="20"/>
          <w:szCs w:val="20"/>
          <w:highlight w:val="white"/>
        </w:rPr>
        <w:t>I expect to see pulmonary irregularities in the new knockout mice.</w:t>
      </w:r>
    </w:p>
    <w:p w:rsidR="00D82AB1" w:rsidRDefault="00D82AB1">
      <w:pPr>
        <w:spacing w:line="240" w:lineRule="auto"/>
        <w:jc w:val="both"/>
        <w:rPr>
          <w:sz w:val="20"/>
          <w:szCs w:val="20"/>
          <w:highlight w:val="white"/>
        </w:rPr>
      </w:pPr>
    </w:p>
    <w:p w:rsidR="00D82AB1" w:rsidRDefault="005D1FF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Aims 3: </w:t>
      </w:r>
      <w:r>
        <w:rPr>
          <w:sz w:val="20"/>
          <w:szCs w:val="20"/>
          <w:highlight w:val="white"/>
        </w:rPr>
        <w:t xml:space="preserve">Identify novel protein interactors with ADA1 mutants. </w:t>
      </w:r>
      <w:r>
        <w:rPr>
          <w:b/>
          <w:sz w:val="20"/>
          <w:szCs w:val="20"/>
          <w:highlight w:val="white"/>
        </w:rPr>
        <w:t>Approach:</w:t>
      </w:r>
      <w:r>
        <w:rPr>
          <w:sz w:val="20"/>
          <w:szCs w:val="20"/>
          <w:highlight w:val="white"/>
        </w:rPr>
        <w:t xml:space="preserve"> I will use </w:t>
      </w:r>
      <w:r>
        <w:rPr>
          <w:sz w:val="20"/>
          <w:szCs w:val="20"/>
          <w:highlight w:val="white"/>
        </w:rPr>
        <w:t xml:space="preserve">In-Vivo SILAC labeling on </w:t>
      </w:r>
      <w:proofErr w:type="spellStart"/>
      <w:r>
        <w:rPr>
          <w:sz w:val="20"/>
          <w:szCs w:val="20"/>
          <w:highlight w:val="white"/>
        </w:rPr>
        <w:t>wt</w:t>
      </w:r>
      <w:proofErr w:type="spellEnd"/>
      <w:r>
        <w:rPr>
          <w:sz w:val="20"/>
          <w:szCs w:val="20"/>
          <w:highlight w:val="white"/>
        </w:rPr>
        <w:t xml:space="preserve">+ vs ADA knockout mice from Aims 2 with a “heavy isotope” 13 Carbon Lysine diet fed to the ADA knockout group. </w:t>
      </w:r>
      <w:proofErr w:type="spellStart"/>
      <w:r>
        <w:rPr>
          <w:sz w:val="20"/>
          <w:szCs w:val="20"/>
          <w:highlight w:val="white"/>
        </w:rPr>
        <w:t>Lysated</w:t>
      </w:r>
      <w:proofErr w:type="spellEnd"/>
      <w:r>
        <w:rPr>
          <w:sz w:val="20"/>
          <w:szCs w:val="20"/>
          <w:highlight w:val="white"/>
        </w:rPr>
        <w:t xml:space="preserve"> protein isolates from both groups will be analyzed by </w:t>
      </w:r>
      <w:r>
        <w:rPr>
          <w:i/>
          <w:sz w:val="20"/>
          <w:szCs w:val="20"/>
          <w:highlight w:val="white"/>
        </w:rPr>
        <w:t>high-resolution liquid chromatography-tandem mass spect</w:t>
      </w:r>
      <w:r>
        <w:rPr>
          <w:i/>
          <w:sz w:val="20"/>
          <w:szCs w:val="20"/>
          <w:highlight w:val="white"/>
        </w:rPr>
        <w:t xml:space="preserve">rometry </w:t>
      </w:r>
      <w:r>
        <w:rPr>
          <w:sz w:val="20"/>
          <w:szCs w:val="20"/>
          <w:highlight w:val="white"/>
        </w:rPr>
        <w:t>(</w:t>
      </w:r>
      <w:proofErr w:type="spellStart"/>
      <w:r>
        <w:rPr>
          <w:sz w:val="20"/>
          <w:szCs w:val="20"/>
          <w:highlight w:val="white"/>
        </w:rPr>
        <w:t>nLC</w:t>
      </w:r>
      <w:proofErr w:type="spellEnd"/>
      <w:r>
        <w:rPr>
          <w:sz w:val="20"/>
          <w:szCs w:val="20"/>
          <w:highlight w:val="white"/>
        </w:rPr>
        <w:t xml:space="preserve"> MS/MS) to identify the differences in protein ratios of the control and mutated groups. </w:t>
      </w:r>
      <w:r>
        <w:rPr>
          <w:b/>
          <w:sz w:val="20"/>
          <w:szCs w:val="20"/>
          <w:highlight w:val="white"/>
        </w:rPr>
        <w:t xml:space="preserve">Rationale: </w:t>
      </w:r>
      <w:r>
        <w:rPr>
          <w:sz w:val="20"/>
          <w:szCs w:val="20"/>
          <w:highlight w:val="white"/>
        </w:rPr>
        <w:t xml:space="preserve">Ubiquitination is known to have a regulatory role during periods of chronic inflammation in the </w:t>
      </w:r>
      <w:proofErr w:type="gramStart"/>
      <w:r>
        <w:rPr>
          <w:sz w:val="20"/>
          <w:szCs w:val="20"/>
          <w:highlight w:val="white"/>
        </w:rPr>
        <w:t>lungs[</w:t>
      </w:r>
      <w:proofErr w:type="gramEnd"/>
      <w:r>
        <w:rPr>
          <w:sz w:val="20"/>
          <w:szCs w:val="20"/>
          <w:highlight w:val="white"/>
        </w:rPr>
        <w:t>9]. Assessing the protein ratios of ubiqui</w:t>
      </w:r>
      <w:r>
        <w:rPr>
          <w:sz w:val="20"/>
          <w:szCs w:val="20"/>
          <w:highlight w:val="white"/>
        </w:rPr>
        <w:t xml:space="preserve">tin in both </w:t>
      </w:r>
      <w:proofErr w:type="spellStart"/>
      <w:r>
        <w:rPr>
          <w:sz w:val="20"/>
          <w:szCs w:val="20"/>
          <w:highlight w:val="white"/>
        </w:rPr>
        <w:t>wt</w:t>
      </w:r>
      <w:proofErr w:type="spellEnd"/>
      <w:r>
        <w:rPr>
          <w:sz w:val="20"/>
          <w:szCs w:val="20"/>
          <w:highlight w:val="white"/>
        </w:rPr>
        <w:t xml:space="preserve">+ vs ADA mutants could lead to a better understanding of the correlation between concentrations of adenosine and the positive anti-inflammatory responses ubiquitin brings to the lung cells. </w:t>
      </w:r>
      <w:r>
        <w:rPr>
          <w:b/>
          <w:sz w:val="20"/>
          <w:szCs w:val="20"/>
          <w:highlight w:val="white"/>
        </w:rPr>
        <w:t xml:space="preserve">Hypothesis: </w:t>
      </w:r>
      <w:r>
        <w:rPr>
          <w:sz w:val="20"/>
          <w:szCs w:val="20"/>
          <w:highlight w:val="white"/>
        </w:rPr>
        <w:t>I hypothesize that ubiquitin protein rat</w:t>
      </w:r>
      <w:r>
        <w:rPr>
          <w:sz w:val="20"/>
          <w:szCs w:val="20"/>
          <w:highlight w:val="white"/>
        </w:rPr>
        <w:t xml:space="preserve">ios will be significantly lower in the 13 Carbon Lysine metabolic diet of the ADA mutant mice group caused by indirect signaling of adenosine on </w:t>
      </w:r>
      <w:proofErr w:type="gramStart"/>
      <w:r>
        <w:rPr>
          <w:sz w:val="20"/>
          <w:szCs w:val="20"/>
          <w:highlight w:val="white"/>
        </w:rPr>
        <w:t>a</w:t>
      </w:r>
      <w:proofErr w:type="gramEnd"/>
      <w:r>
        <w:rPr>
          <w:sz w:val="20"/>
          <w:szCs w:val="20"/>
          <w:highlight w:val="white"/>
        </w:rPr>
        <w:t xml:space="preserve"> ubiquitin-like protein messenger.</w:t>
      </w: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D82AB1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D82AB1" w:rsidRDefault="005D1FF5">
      <w:pPr>
        <w:spacing w:line="24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References</w:t>
      </w:r>
    </w:p>
    <w:p w:rsidR="00D82AB1" w:rsidRDefault="005D1FF5">
      <w:pPr>
        <w:spacing w:before="120" w:after="28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[1] </w:t>
      </w:r>
      <w:proofErr w:type="spellStart"/>
      <w:r>
        <w:rPr>
          <w:sz w:val="20"/>
          <w:szCs w:val="20"/>
          <w:highlight w:val="white"/>
        </w:rPr>
        <w:t>Whitte</w:t>
      </w:r>
      <w:proofErr w:type="spellEnd"/>
      <w:r>
        <w:rPr>
          <w:sz w:val="20"/>
          <w:szCs w:val="20"/>
          <w:highlight w:val="white"/>
        </w:rPr>
        <w:t xml:space="preserve"> H, Thrasher A, </w:t>
      </w:r>
      <w:proofErr w:type="spellStart"/>
      <w:r>
        <w:rPr>
          <w:sz w:val="20"/>
          <w:szCs w:val="20"/>
          <w:highlight w:val="white"/>
        </w:rPr>
        <w:t>Veys</w:t>
      </w:r>
      <w:proofErr w:type="spellEnd"/>
      <w:r>
        <w:rPr>
          <w:sz w:val="20"/>
          <w:szCs w:val="20"/>
          <w:highlight w:val="white"/>
        </w:rPr>
        <w:t xml:space="preserve"> P, </w:t>
      </w:r>
      <w:proofErr w:type="spellStart"/>
      <w:r>
        <w:rPr>
          <w:sz w:val="20"/>
          <w:szCs w:val="20"/>
          <w:highlight w:val="white"/>
        </w:rPr>
        <w:t>Kinnon</w:t>
      </w:r>
      <w:proofErr w:type="spellEnd"/>
      <w:r>
        <w:rPr>
          <w:sz w:val="20"/>
          <w:szCs w:val="20"/>
          <w:highlight w:val="white"/>
        </w:rPr>
        <w:t xml:space="preserve"> C, Gaspar </w:t>
      </w:r>
      <w:r>
        <w:rPr>
          <w:sz w:val="20"/>
          <w:szCs w:val="20"/>
          <w:highlight w:val="white"/>
        </w:rPr>
        <w:t xml:space="preserve">HB. Intrinsic defects of B cell function in X-linked severe combined immunodeficiency. </w:t>
      </w:r>
      <w:proofErr w:type="spellStart"/>
      <w:r>
        <w:rPr>
          <w:sz w:val="20"/>
          <w:szCs w:val="20"/>
          <w:highlight w:val="white"/>
        </w:rPr>
        <w:t>Eur</w:t>
      </w:r>
      <w:proofErr w:type="spellEnd"/>
      <w:r>
        <w:rPr>
          <w:sz w:val="20"/>
          <w:szCs w:val="20"/>
          <w:highlight w:val="white"/>
        </w:rPr>
        <w:t xml:space="preserve"> J </w:t>
      </w:r>
      <w:proofErr w:type="spellStart"/>
      <w:r>
        <w:rPr>
          <w:sz w:val="20"/>
          <w:szCs w:val="20"/>
          <w:highlight w:val="white"/>
        </w:rPr>
        <w:t>Immunol</w:t>
      </w:r>
      <w:proofErr w:type="spellEnd"/>
      <w:r>
        <w:rPr>
          <w:sz w:val="20"/>
          <w:szCs w:val="20"/>
          <w:highlight w:val="white"/>
        </w:rPr>
        <w:t>. 2000</w:t>
      </w:r>
      <w:proofErr w:type="gramStart"/>
      <w:r>
        <w:rPr>
          <w:sz w:val="20"/>
          <w:szCs w:val="20"/>
          <w:highlight w:val="white"/>
        </w:rPr>
        <w:t>;30:772</w:t>
      </w:r>
      <w:proofErr w:type="gramEnd"/>
      <w:r>
        <w:rPr>
          <w:sz w:val="20"/>
          <w:szCs w:val="20"/>
          <w:highlight w:val="white"/>
        </w:rPr>
        <w:t>–7.</w:t>
      </w:r>
    </w:p>
    <w:p w:rsidR="00D82AB1" w:rsidRDefault="005D1FF5">
      <w:pPr>
        <w:spacing w:before="120" w:after="28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[2] Immune Deficiency Foundation: The Story of David. </w:t>
      </w:r>
      <w:hyperlink r:id="rId4">
        <w:r>
          <w:rPr>
            <w:sz w:val="20"/>
            <w:szCs w:val="20"/>
            <w:highlight w:val="white"/>
            <w:u w:val="single"/>
          </w:rPr>
          <w:t>https://primaryimmune.org/living-pi-explaining-pi-others/story-david</w:t>
        </w:r>
      </w:hyperlink>
    </w:p>
    <w:p w:rsidR="00D82AB1" w:rsidRDefault="005D1FF5">
      <w:pPr>
        <w:spacing w:before="120" w:after="16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[3] </w:t>
      </w:r>
      <w:hyperlink r:id="rId5">
        <w:r>
          <w:rPr>
            <w:sz w:val="20"/>
            <w:szCs w:val="20"/>
            <w:highlight w:val="white"/>
            <w:u w:val="single"/>
          </w:rPr>
          <w:t>Kathryn V. Whitmore</w:t>
        </w:r>
      </w:hyperlink>
      <w:r>
        <w:rPr>
          <w:sz w:val="20"/>
          <w:szCs w:val="20"/>
          <w:highlight w:val="white"/>
        </w:rPr>
        <w:t xml:space="preserve">1 and </w:t>
      </w:r>
      <w:hyperlink r:id="rId6">
        <w:r>
          <w:rPr>
            <w:sz w:val="20"/>
            <w:szCs w:val="20"/>
            <w:highlight w:val="white"/>
            <w:u w:val="single"/>
          </w:rPr>
          <w:t xml:space="preserve">Hubert B. </w:t>
        </w:r>
        <w:proofErr w:type="spellStart"/>
        <w:r>
          <w:rPr>
            <w:sz w:val="20"/>
            <w:szCs w:val="20"/>
            <w:highlight w:val="white"/>
            <w:u w:val="single"/>
          </w:rPr>
          <w:t>Gaspar</w:t>
        </w:r>
      </w:hyperlink>
      <w:proofErr w:type="gramStart"/>
      <w:r>
        <w:rPr>
          <w:sz w:val="20"/>
          <w:szCs w:val="20"/>
          <w:highlight w:val="white"/>
        </w:rPr>
        <w:t>,Adenosine</w:t>
      </w:r>
      <w:proofErr w:type="spellEnd"/>
      <w:proofErr w:type="gramEnd"/>
      <w:r>
        <w:rPr>
          <w:sz w:val="20"/>
          <w:szCs w:val="20"/>
          <w:highlight w:val="white"/>
        </w:rPr>
        <w:t xml:space="preserve"> Deaminase Deficiency More than just an </w:t>
      </w:r>
      <w:proofErr w:type="spellStart"/>
      <w:r>
        <w:rPr>
          <w:sz w:val="20"/>
          <w:szCs w:val="20"/>
          <w:highlight w:val="white"/>
        </w:rPr>
        <w:t>Immunodeficicency</w:t>
      </w:r>
      <w:proofErr w:type="spellEnd"/>
      <w:r>
        <w:rPr>
          <w:sz w:val="20"/>
          <w:szCs w:val="20"/>
          <w:highlight w:val="white"/>
        </w:rPr>
        <w:t xml:space="preserve"> </w:t>
      </w:r>
      <w:hyperlink r:id="rId7">
        <w:r>
          <w:rPr>
            <w:sz w:val="20"/>
            <w:szCs w:val="20"/>
            <w:highlight w:val="white"/>
            <w:u w:val="single"/>
          </w:rPr>
          <w:t xml:space="preserve">Front </w:t>
        </w:r>
        <w:proofErr w:type="spellStart"/>
        <w:r>
          <w:rPr>
            <w:sz w:val="20"/>
            <w:szCs w:val="20"/>
            <w:highlight w:val="white"/>
            <w:u w:val="single"/>
          </w:rPr>
          <w:t>Immunol</w:t>
        </w:r>
        <w:proofErr w:type="spellEnd"/>
      </w:hyperlink>
      <w:r>
        <w:rPr>
          <w:sz w:val="20"/>
          <w:szCs w:val="20"/>
          <w:highlight w:val="white"/>
        </w:rPr>
        <w:t>. 2016; 7: 314.</w:t>
      </w:r>
    </w:p>
    <w:p w:rsidR="00D82AB1" w:rsidRDefault="005D1FF5">
      <w:pPr>
        <w:spacing w:before="120" w:after="160"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[4] </w:t>
      </w:r>
      <w:proofErr w:type="spellStart"/>
      <w:r>
        <w:rPr>
          <w:sz w:val="20"/>
          <w:szCs w:val="20"/>
          <w:highlight w:val="white"/>
        </w:rPr>
        <w:t>Komarow</w:t>
      </w:r>
      <w:proofErr w:type="spellEnd"/>
      <w:r>
        <w:rPr>
          <w:sz w:val="20"/>
          <w:szCs w:val="20"/>
          <w:highlight w:val="white"/>
        </w:rPr>
        <w:t xml:space="preserve"> HD, </w:t>
      </w:r>
      <w:proofErr w:type="spellStart"/>
      <w:r>
        <w:rPr>
          <w:sz w:val="20"/>
          <w:szCs w:val="20"/>
          <w:highlight w:val="white"/>
        </w:rPr>
        <w:t>Sokolic</w:t>
      </w:r>
      <w:proofErr w:type="spellEnd"/>
      <w:r>
        <w:rPr>
          <w:sz w:val="20"/>
          <w:szCs w:val="20"/>
          <w:highlight w:val="white"/>
        </w:rPr>
        <w:t xml:space="preserve"> R, </w:t>
      </w:r>
      <w:proofErr w:type="spellStart"/>
      <w:r>
        <w:rPr>
          <w:sz w:val="20"/>
          <w:szCs w:val="20"/>
          <w:highlight w:val="white"/>
        </w:rPr>
        <w:t>Hershfield</w:t>
      </w:r>
      <w:proofErr w:type="spellEnd"/>
      <w:r>
        <w:rPr>
          <w:sz w:val="20"/>
          <w:szCs w:val="20"/>
          <w:highlight w:val="white"/>
        </w:rPr>
        <w:t xml:space="preserve"> MS, Kohn DB, Young M, Me</w:t>
      </w:r>
      <w:r>
        <w:rPr>
          <w:sz w:val="20"/>
          <w:szCs w:val="20"/>
          <w:highlight w:val="white"/>
        </w:rPr>
        <w:t xml:space="preserve">tcalfe DD, et al. Impulse </w:t>
      </w:r>
      <w:proofErr w:type="spellStart"/>
      <w:r>
        <w:rPr>
          <w:sz w:val="20"/>
          <w:szCs w:val="20"/>
          <w:highlight w:val="white"/>
        </w:rPr>
        <w:t>oscillometry</w:t>
      </w:r>
      <w:proofErr w:type="spellEnd"/>
      <w:r>
        <w:rPr>
          <w:sz w:val="20"/>
          <w:szCs w:val="20"/>
          <w:highlight w:val="white"/>
        </w:rPr>
        <w:t xml:space="preserve"> identifies peripheral airway dysfunction in children with adenosine deaminase deficiency. </w:t>
      </w:r>
      <w:proofErr w:type="spellStart"/>
      <w:r>
        <w:rPr>
          <w:sz w:val="20"/>
          <w:szCs w:val="20"/>
          <w:highlight w:val="white"/>
        </w:rPr>
        <w:t>Orphanet</w:t>
      </w:r>
      <w:proofErr w:type="spellEnd"/>
      <w:r>
        <w:rPr>
          <w:sz w:val="20"/>
          <w:szCs w:val="20"/>
          <w:highlight w:val="white"/>
        </w:rPr>
        <w:t xml:space="preserve"> J Rare Dis (2015) </w:t>
      </w:r>
    </w:p>
    <w:p w:rsidR="00D82AB1" w:rsidRDefault="005D1FF5">
      <w:pPr>
        <w:spacing w:before="180" w:after="460" w:line="240" w:lineRule="auto"/>
        <w:jc w:val="both"/>
        <w:rPr>
          <w:sz w:val="20"/>
          <w:szCs w:val="20"/>
        </w:rPr>
      </w:pPr>
      <w:bookmarkStart w:id="1" w:name="_87msl4jqazsz" w:colFirst="0" w:colLast="0"/>
      <w:bookmarkEnd w:id="1"/>
      <w:r>
        <w:rPr>
          <w:sz w:val="20"/>
          <w:szCs w:val="20"/>
        </w:rPr>
        <w:t xml:space="preserve">[5] Bates JH1, Irvin CG Measuring lung function in mice: the phenotyping uncertainty principle. J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ppl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Physiol</w:t>
      </w:r>
      <w:proofErr w:type="spellEnd"/>
      <w:r>
        <w:rPr>
          <w:sz w:val="20"/>
          <w:szCs w:val="20"/>
        </w:rPr>
        <w:t xml:space="preserve"> (1985) </w:t>
      </w:r>
      <w:r>
        <w:rPr>
          <w:sz w:val="20"/>
          <w:szCs w:val="20"/>
          <w:highlight w:val="white"/>
        </w:rPr>
        <w:t>2003 Apr</w:t>
      </w:r>
      <w:proofErr w:type="gramStart"/>
      <w:r>
        <w:rPr>
          <w:sz w:val="20"/>
          <w:szCs w:val="20"/>
          <w:highlight w:val="white"/>
        </w:rPr>
        <w:t>;94</w:t>
      </w:r>
      <w:proofErr w:type="gramEnd"/>
      <w:r>
        <w:rPr>
          <w:sz w:val="20"/>
          <w:szCs w:val="20"/>
          <w:highlight w:val="white"/>
        </w:rPr>
        <w:t>(4):1297-306.</w:t>
      </w:r>
    </w:p>
    <w:p w:rsidR="00D82AB1" w:rsidRDefault="005D1FF5">
      <w:pPr>
        <w:spacing w:before="180" w:after="460" w:line="240" w:lineRule="auto"/>
        <w:jc w:val="both"/>
        <w:rPr>
          <w:i/>
          <w:sz w:val="20"/>
          <w:szCs w:val="20"/>
        </w:rPr>
      </w:pPr>
      <w:bookmarkStart w:id="2" w:name="_aealu0lkmphb" w:colFirst="0" w:colLast="0"/>
      <w:bookmarkEnd w:id="2"/>
      <w:r>
        <w:rPr>
          <w:sz w:val="20"/>
          <w:szCs w:val="20"/>
        </w:rPr>
        <w:t xml:space="preserve">[6] </w:t>
      </w:r>
      <w:r>
        <w:rPr>
          <w:i/>
          <w:sz w:val="20"/>
          <w:szCs w:val="20"/>
        </w:rPr>
        <w:t xml:space="preserve">Blackburn MR, </w:t>
      </w:r>
      <w:proofErr w:type="spellStart"/>
      <w:r>
        <w:rPr>
          <w:i/>
          <w:sz w:val="20"/>
          <w:szCs w:val="20"/>
        </w:rPr>
        <w:t>Datta</w:t>
      </w:r>
      <w:proofErr w:type="spellEnd"/>
      <w:r>
        <w:rPr>
          <w:i/>
          <w:sz w:val="20"/>
          <w:szCs w:val="20"/>
        </w:rPr>
        <w:t xml:space="preserve"> SK, </w:t>
      </w:r>
      <w:proofErr w:type="spellStart"/>
      <w:r>
        <w:rPr>
          <w:i/>
          <w:sz w:val="20"/>
          <w:szCs w:val="20"/>
        </w:rPr>
        <w:t>Kellems</w:t>
      </w:r>
      <w:proofErr w:type="spellEnd"/>
      <w:r>
        <w:rPr>
          <w:i/>
          <w:sz w:val="20"/>
          <w:szCs w:val="20"/>
        </w:rPr>
        <w:t xml:space="preserve"> RE J </w:t>
      </w:r>
      <w:r>
        <w:rPr>
          <w:sz w:val="20"/>
          <w:szCs w:val="20"/>
          <w:highlight w:val="white"/>
        </w:rPr>
        <w:t xml:space="preserve">Adenosine deaminase-deficient mice generated using a two-stage genetic engineering strategy exhibit a combined immunodeficiency. </w:t>
      </w:r>
      <w:proofErr w:type="spellStart"/>
      <w:r>
        <w:rPr>
          <w:i/>
          <w:sz w:val="20"/>
          <w:szCs w:val="20"/>
        </w:rPr>
        <w:t>Biol</w:t>
      </w:r>
      <w:proofErr w:type="spellEnd"/>
      <w:r>
        <w:rPr>
          <w:i/>
          <w:sz w:val="20"/>
          <w:szCs w:val="20"/>
        </w:rPr>
        <w:t xml:space="preserve"> Chem. 1998 Feb 27; 273(9):5093-100.</w:t>
      </w:r>
    </w:p>
    <w:p w:rsidR="00D82AB1" w:rsidRDefault="005D1FF5">
      <w:pPr>
        <w:spacing w:before="180" w:after="460" w:line="240" w:lineRule="auto"/>
        <w:jc w:val="both"/>
        <w:rPr>
          <w:sz w:val="20"/>
          <w:szCs w:val="20"/>
        </w:rPr>
      </w:pPr>
      <w:bookmarkStart w:id="3" w:name="_y822ve3r4vbz" w:colFirst="0" w:colLast="0"/>
      <w:bookmarkEnd w:id="3"/>
      <w:r>
        <w:rPr>
          <w:sz w:val="20"/>
          <w:szCs w:val="20"/>
        </w:rPr>
        <w:t>[</w:t>
      </w:r>
      <w:r>
        <w:rPr>
          <w:sz w:val="20"/>
          <w:szCs w:val="20"/>
        </w:rPr>
        <w:t xml:space="preserve">7] Tissue of ADA - Summary- The Human Protein Atlas </w:t>
      </w:r>
      <w:hyperlink r:id="rId8">
        <w:r>
          <w:rPr>
            <w:sz w:val="20"/>
            <w:szCs w:val="20"/>
            <w:u w:val="single"/>
          </w:rPr>
          <w:t>https://www.proteinatlas.org/ENSG00000196839-ADA/tissue</w:t>
        </w:r>
      </w:hyperlink>
      <w:r>
        <w:rPr>
          <w:sz w:val="20"/>
          <w:szCs w:val="20"/>
        </w:rPr>
        <w:t xml:space="preserve"> </w:t>
      </w:r>
    </w:p>
    <w:p w:rsidR="00D82AB1" w:rsidRDefault="005D1FF5">
      <w:pPr>
        <w:spacing w:before="180" w:after="460" w:line="240" w:lineRule="auto"/>
        <w:jc w:val="both"/>
        <w:rPr>
          <w:sz w:val="20"/>
          <w:szCs w:val="20"/>
        </w:rPr>
      </w:pPr>
      <w:bookmarkStart w:id="4" w:name="_wy3v042hhu72" w:colFirst="0" w:colLast="0"/>
      <w:bookmarkEnd w:id="4"/>
      <w:r>
        <w:rPr>
          <w:sz w:val="20"/>
          <w:szCs w:val="20"/>
        </w:rPr>
        <w:t>[8] ADA Gene (Protein Coding) - Human Gene Database http://www.genecards</w:t>
      </w:r>
      <w:r>
        <w:rPr>
          <w:sz w:val="20"/>
          <w:szCs w:val="20"/>
        </w:rPr>
        <w:t>.org/cgi-bin/carddisp.pl?gene=ADA</w:t>
      </w:r>
    </w:p>
    <w:p w:rsidR="00D82AB1" w:rsidRDefault="005D1FF5">
      <w:pPr>
        <w:spacing w:before="180" w:after="460" w:line="240" w:lineRule="auto"/>
        <w:jc w:val="both"/>
        <w:rPr>
          <w:sz w:val="20"/>
          <w:szCs w:val="20"/>
          <w:highlight w:val="white"/>
        </w:rPr>
      </w:pPr>
      <w:bookmarkStart w:id="5" w:name="_mpamtrv2cc39" w:colFirst="0" w:colLast="0"/>
      <w:bookmarkEnd w:id="5"/>
      <w:r>
        <w:rPr>
          <w:sz w:val="20"/>
          <w:szCs w:val="20"/>
        </w:rPr>
        <w:t xml:space="preserve">[9] </w:t>
      </w:r>
      <w:hyperlink r:id="rId9">
        <w:proofErr w:type="spellStart"/>
        <w:r>
          <w:rPr>
            <w:sz w:val="20"/>
            <w:szCs w:val="20"/>
            <w:highlight w:val="white"/>
            <w:u w:val="single"/>
          </w:rPr>
          <w:t>István</w:t>
        </w:r>
        <w:proofErr w:type="spellEnd"/>
        <w:r>
          <w:rPr>
            <w:sz w:val="20"/>
            <w:szCs w:val="20"/>
            <w:highlight w:val="white"/>
            <w:u w:val="single"/>
          </w:rPr>
          <w:t xml:space="preserve"> </w:t>
        </w:r>
        <w:proofErr w:type="spellStart"/>
        <w:r>
          <w:rPr>
            <w:sz w:val="20"/>
            <w:szCs w:val="20"/>
            <w:highlight w:val="white"/>
            <w:u w:val="single"/>
          </w:rPr>
          <w:t>Vadász</w:t>
        </w:r>
        <w:proofErr w:type="spellEnd"/>
      </w:hyperlink>
      <w:r>
        <w:rPr>
          <w:sz w:val="20"/>
          <w:szCs w:val="20"/>
          <w:highlight w:val="white"/>
        </w:rPr>
        <w:t>, MD,</w:t>
      </w:r>
      <w:r>
        <w:rPr>
          <w:noProof/>
          <w:sz w:val="20"/>
          <w:szCs w:val="20"/>
          <w:highlight w:val="white"/>
          <w:lang w:val="en-US"/>
        </w:rPr>
        <w:drawing>
          <wp:inline distT="114300" distB="114300" distL="114300" distR="114300">
            <wp:extent cx="66675" cy="85725"/>
            <wp:effectExtent l="0" t="0" r="0" b="0"/>
            <wp:docPr id="1" name="image2.gif" descr="corresponding aut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corresponding autho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  <w:highlight w:val="white"/>
        </w:rPr>
        <w:t xml:space="preserve"> </w:t>
      </w:r>
      <w:hyperlink r:id="rId11">
        <w:r>
          <w:rPr>
            <w:sz w:val="20"/>
            <w:szCs w:val="20"/>
            <w:highlight w:val="white"/>
            <w:u w:val="single"/>
          </w:rPr>
          <w:t>Curtis H. Weiss</w:t>
        </w:r>
      </w:hyperlink>
      <w:r>
        <w:rPr>
          <w:sz w:val="20"/>
          <w:szCs w:val="20"/>
          <w:highlight w:val="white"/>
        </w:rPr>
        <w:t xml:space="preserve">, MD, and </w:t>
      </w:r>
      <w:hyperlink r:id="rId12">
        <w:r>
          <w:rPr>
            <w:sz w:val="20"/>
            <w:szCs w:val="20"/>
            <w:highlight w:val="white"/>
            <w:u w:val="single"/>
          </w:rPr>
          <w:t xml:space="preserve">Jacob I. </w:t>
        </w:r>
        <w:proofErr w:type="spellStart"/>
        <w:r>
          <w:rPr>
            <w:sz w:val="20"/>
            <w:szCs w:val="20"/>
            <w:highlight w:val="white"/>
            <w:u w:val="single"/>
          </w:rPr>
          <w:t>Sznajder</w:t>
        </w:r>
        <w:proofErr w:type="spellEnd"/>
      </w:hyperlink>
      <w:r>
        <w:rPr>
          <w:sz w:val="20"/>
          <w:szCs w:val="20"/>
          <w:highlight w:val="white"/>
        </w:rPr>
        <w:t xml:space="preserve">, MD, </w:t>
      </w:r>
      <w:proofErr w:type="spellStart"/>
      <w:r>
        <w:rPr>
          <w:sz w:val="20"/>
          <w:szCs w:val="20"/>
          <w:highlight w:val="white"/>
        </w:rPr>
        <w:t>FCCP</w:t>
      </w:r>
      <w:r>
        <w:rPr>
          <w:sz w:val="20"/>
          <w:szCs w:val="20"/>
        </w:rPr>
        <w:t>Ubiquitination</w:t>
      </w:r>
      <w:proofErr w:type="spellEnd"/>
      <w:r>
        <w:rPr>
          <w:sz w:val="20"/>
          <w:szCs w:val="20"/>
        </w:rPr>
        <w:t xml:space="preserve"> and Proteolysis </w:t>
      </w:r>
      <w:r>
        <w:rPr>
          <w:sz w:val="20"/>
          <w:szCs w:val="20"/>
        </w:rPr>
        <w:t xml:space="preserve">in Acute Lung Injury </w:t>
      </w:r>
      <w:hyperlink r:id="rId13">
        <w:r>
          <w:rPr>
            <w:sz w:val="20"/>
            <w:szCs w:val="20"/>
            <w:highlight w:val="white"/>
            <w:u w:val="single"/>
          </w:rPr>
          <w:t>Chest</w:t>
        </w:r>
      </w:hyperlink>
      <w:r>
        <w:rPr>
          <w:sz w:val="20"/>
          <w:szCs w:val="20"/>
          <w:highlight w:val="white"/>
        </w:rPr>
        <w:t>. 2012 Mar; 141(3): 763–771.</w:t>
      </w:r>
    </w:p>
    <w:p w:rsidR="00D82AB1" w:rsidRDefault="00D82AB1">
      <w:pPr>
        <w:spacing w:before="180" w:after="460" w:line="240" w:lineRule="auto"/>
        <w:jc w:val="both"/>
        <w:rPr>
          <w:sz w:val="71"/>
          <w:szCs w:val="71"/>
        </w:rPr>
      </w:pPr>
    </w:p>
    <w:p w:rsidR="00D82AB1" w:rsidRDefault="00D82AB1">
      <w:pPr>
        <w:spacing w:before="180" w:after="460" w:line="240" w:lineRule="auto"/>
        <w:jc w:val="both"/>
        <w:rPr>
          <w:sz w:val="20"/>
          <w:szCs w:val="20"/>
        </w:rPr>
      </w:pPr>
      <w:bookmarkStart w:id="6" w:name="_1bn7gwn9gs63" w:colFirst="0" w:colLast="0"/>
      <w:bookmarkEnd w:id="6"/>
    </w:p>
    <w:p w:rsidR="00D82AB1" w:rsidRDefault="00D82AB1">
      <w:pPr>
        <w:spacing w:before="180" w:after="460" w:line="240" w:lineRule="auto"/>
        <w:jc w:val="both"/>
        <w:rPr>
          <w:sz w:val="20"/>
          <w:szCs w:val="20"/>
        </w:rPr>
      </w:pPr>
      <w:bookmarkStart w:id="7" w:name="_2x2hm8ppigwp" w:colFirst="0" w:colLast="0"/>
      <w:bookmarkEnd w:id="7"/>
    </w:p>
    <w:p w:rsidR="00D82AB1" w:rsidRDefault="00D82AB1">
      <w:pPr>
        <w:spacing w:before="180" w:after="460" w:line="240" w:lineRule="auto"/>
        <w:jc w:val="both"/>
        <w:rPr>
          <w:sz w:val="20"/>
          <w:szCs w:val="20"/>
        </w:rPr>
      </w:pPr>
      <w:bookmarkStart w:id="8" w:name="_c1pxlfyyp4ln" w:colFirst="0" w:colLast="0"/>
      <w:bookmarkEnd w:id="8"/>
    </w:p>
    <w:p w:rsidR="00D82AB1" w:rsidRDefault="00D82AB1">
      <w:pPr>
        <w:spacing w:before="180" w:after="460" w:line="240" w:lineRule="auto"/>
        <w:jc w:val="both"/>
        <w:rPr>
          <w:sz w:val="20"/>
          <w:szCs w:val="20"/>
        </w:rPr>
      </w:pPr>
      <w:bookmarkStart w:id="9" w:name="_hk47nkehe7f3" w:colFirst="0" w:colLast="0"/>
      <w:bookmarkEnd w:id="9"/>
    </w:p>
    <w:p w:rsidR="00D82AB1" w:rsidRDefault="00D82AB1">
      <w:pPr>
        <w:spacing w:before="180" w:after="460" w:line="240" w:lineRule="auto"/>
        <w:jc w:val="both"/>
        <w:rPr>
          <w:sz w:val="20"/>
          <w:szCs w:val="20"/>
        </w:rPr>
      </w:pPr>
      <w:bookmarkStart w:id="10" w:name="_wkdxfiqf7tt1" w:colFirst="0" w:colLast="0"/>
      <w:bookmarkEnd w:id="10"/>
    </w:p>
    <w:p w:rsidR="00D82AB1" w:rsidRDefault="00D82AB1">
      <w:pPr>
        <w:spacing w:before="180" w:after="460" w:line="240" w:lineRule="auto"/>
        <w:jc w:val="both"/>
        <w:rPr>
          <w:color w:val="020202"/>
          <w:sz w:val="20"/>
          <w:szCs w:val="20"/>
        </w:rPr>
      </w:pPr>
    </w:p>
    <w:p w:rsidR="00D82AB1" w:rsidRDefault="00D82AB1">
      <w:pPr>
        <w:spacing w:before="120" w:line="240" w:lineRule="auto"/>
        <w:jc w:val="both"/>
        <w:rPr>
          <w:rFonts w:ascii="Georgia" w:eastAsia="Georgia" w:hAnsi="Georgia" w:cs="Georgia"/>
          <w:color w:val="020202"/>
          <w:sz w:val="20"/>
          <w:szCs w:val="20"/>
        </w:rPr>
      </w:pPr>
      <w:bookmarkStart w:id="11" w:name="_qx09gd945gti" w:colFirst="0" w:colLast="0"/>
      <w:bookmarkEnd w:id="11"/>
    </w:p>
    <w:p w:rsidR="00D82AB1" w:rsidRDefault="00D82AB1">
      <w:pPr>
        <w:spacing w:before="120" w:line="240" w:lineRule="auto"/>
        <w:ind w:firstLine="720"/>
        <w:jc w:val="both"/>
        <w:rPr>
          <w:sz w:val="20"/>
          <w:szCs w:val="20"/>
        </w:rPr>
      </w:pPr>
      <w:bookmarkStart w:id="12" w:name="_gjdgxs" w:colFirst="0" w:colLast="0"/>
      <w:bookmarkEnd w:id="12"/>
    </w:p>
    <w:sectPr w:rsidR="00D82AB1">
      <w:pgSz w:w="12240" w:h="15840"/>
      <w:pgMar w:top="431" w:right="1440" w:bottom="43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1"/>
    <w:rsid w:val="0015035E"/>
    <w:rsid w:val="005D1FF5"/>
    <w:rsid w:val="00D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30B8"/>
  <w15:docId w15:val="{DBB0988F-6457-47CD-AC9F-12C8609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TW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inatlas.org/ENSG00000196839-ADA/tissue" TargetMode="External"/><Relationship Id="rId13" Type="http://schemas.openxmlformats.org/officeDocument/2006/relationships/hyperlink" Target="https://www.ncbi.nlm.nih.gov/pmc/articles/PMC32964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985714/" TargetMode="External"/><Relationship Id="rId12" Type="http://schemas.openxmlformats.org/officeDocument/2006/relationships/hyperlink" Target="https://www.ncbi.nlm.nih.gov/pubmed/?term=Sznajder%20JI%5BAuthor%5D&amp;cauthor=true&amp;cauthor_uid=223965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Gaspar%20HB%5BAuthor%5D&amp;cauthor=true&amp;cauthor_uid=27579027" TargetMode="External"/><Relationship Id="rId11" Type="http://schemas.openxmlformats.org/officeDocument/2006/relationships/hyperlink" Target="https://www.ncbi.nlm.nih.gov/pubmed/?term=Weiss%20CH%5BAuthor%5D&amp;cauthor=true&amp;cauthor_uid=22396561" TargetMode="External"/><Relationship Id="rId5" Type="http://schemas.openxmlformats.org/officeDocument/2006/relationships/hyperlink" Target="https://www.ncbi.nlm.nih.gov/pubmed/?term=Whitmore%20KV%5BAuthor%5D&amp;cauthor=true&amp;cauthor_uid=2757902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https://primaryimmune.org/living-pi-explaining-pi-others/story-david" TargetMode="External"/><Relationship Id="rId9" Type="http://schemas.openxmlformats.org/officeDocument/2006/relationships/hyperlink" Target="https://www.ncbi.nlm.nih.gov/pubmed/?term=Vad%26%23x000e1%3Bsz%20I%5BAuthor%5D&amp;cauthor=true&amp;cauthor_uid=223965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Perez</dc:creator>
  <cp:lastModifiedBy>Badger, Bucky</cp:lastModifiedBy>
  <cp:revision>2</cp:revision>
  <dcterms:created xsi:type="dcterms:W3CDTF">2018-05-02T00:28:00Z</dcterms:created>
  <dcterms:modified xsi:type="dcterms:W3CDTF">2018-05-02T00:28:00Z</dcterms:modified>
</cp:coreProperties>
</file>